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Beantwoord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" w:history="1">
        <w:r>
          <w:rPr>
            <w:rFonts w:ascii="Arial" w:hAnsi="Arial" w:eastAsia="Arial" w:cs="Arial"/>
            <w:color w:val="155CAA"/>
            <w:u w:val="single"/>
          </w:rPr>
          <w:t xml:space="preserve">1 Leges nadeelcompensatie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"/>
      <w:r w:rsidRPr="00A448AC">
        <w:rPr>
          <w:rFonts w:ascii="Arial" w:hAnsi="Arial" w:cs="Arial"/>
          <w:b/>
          <w:bCs/>
          <w:color w:val="303F4C"/>
          <w:lang w:val="en-US"/>
        </w:rPr>
        <w:t>Leges nadeelcompensatie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 16:17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RG2022-002 Schriftelijke vragen D66 - leges nadeelcompensatie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documenten/Schriftelijke-vragen/RG2022-002-Schriftelijke-vragen-D66-leges-nadeelcompens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