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 Drugslab in Gendringen</text:span>
              </text:span>
            </text:a>
          </text:p>
        </text:list-item>
        <text:list-item>
          <text:p text:style-name="P2" loext:marker-style-name="T5">
            <text:a xlink:type="simple" xlink:href="#929" text:style-name="Internet_20_link" text:visited-style-name="Visited_20_Internet_20_Link">
              <text:span text:style-name="ListLabel_20_28">
                <text:span text:style-name="T8">2 Fractie PRO! - Ontwikkelingen DRU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20:30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10:36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6.A2" office:value-type="string">
            <text:p text:style-name="P8">27-02-2025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28" meta:character-count="876" meta:non-whitespace-character-count="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